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FC" w:rsidRPr="00161CD4" w:rsidRDefault="00F20DFC" w:rsidP="00F20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 xml:space="preserve">Notice of Invitation for </w:t>
      </w:r>
      <w:r w:rsidR="0057547A" w:rsidRPr="00161CD4">
        <w:rPr>
          <w:rFonts w:ascii="Times New Roman" w:hAnsi="Times New Roman" w:cs="Times New Roman"/>
          <w:b/>
          <w:sz w:val="24"/>
          <w:szCs w:val="24"/>
        </w:rPr>
        <w:t>Technical and Fee Proposals</w:t>
      </w:r>
    </w:p>
    <w:p w:rsidR="00F20DFC" w:rsidRPr="00161CD4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161CD4">
        <w:rPr>
          <w:rFonts w:ascii="Times New Roman" w:hAnsi="Times New Roman" w:cs="Times New Roman"/>
          <w:b/>
          <w:sz w:val="24"/>
          <w:szCs w:val="24"/>
        </w:rPr>
        <w:tab/>
      </w:r>
      <w:r w:rsidRPr="00161CD4">
        <w:rPr>
          <w:rFonts w:ascii="Times New Roman" w:hAnsi="Times New Roman" w:cs="Times New Roman"/>
          <w:sz w:val="24"/>
          <w:szCs w:val="24"/>
        </w:rPr>
        <w:t xml:space="preserve">CE </w:t>
      </w:r>
      <w:r w:rsidR="008C5FE3" w:rsidRPr="00161CD4">
        <w:rPr>
          <w:rFonts w:ascii="Times New Roman" w:hAnsi="Times New Roman" w:cs="Times New Roman"/>
          <w:sz w:val="24"/>
          <w:szCs w:val="24"/>
        </w:rPr>
        <w:t>56</w:t>
      </w:r>
      <w:r w:rsidRPr="00161CD4">
        <w:rPr>
          <w:rFonts w:ascii="Times New Roman" w:hAnsi="Times New Roman" w:cs="Times New Roman"/>
          <w:sz w:val="24"/>
          <w:szCs w:val="24"/>
        </w:rPr>
        <w:t>/</w:t>
      </w:r>
      <w:r w:rsidR="003C61FB" w:rsidRPr="00161CD4">
        <w:rPr>
          <w:rFonts w:ascii="Times New Roman" w:hAnsi="Times New Roman" w:cs="Times New Roman"/>
          <w:sz w:val="24"/>
          <w:szCs w:val="24"/>
        </w:rPr>
        <w:t>2019</w:t>
      </w:r>
      <w:r w:rsidRPr="00161CD4">
        <w:rPr>
          <w:rFonts w:ascii="Times New Roman" w:hAnsi="Times New Roman" w:cs="Times New Roman"/>
          <w:sz w:val="24"/>
          <w:szCs w:val="24"/>
        </w:rPr>
        <w:t xml:space="preserve"> (</w:t>
      </w:r>
      <w:r w:rsidR="003C61FB" w:rsidRPr="00161CD4">
        <w:rPr>
          <w:rFonts w:ascii="Times New Roman" w:hAnsi="Times New Roman" w:cs="Times New Roman"/>
          <w:sz w:val="24"/>
          <w:szCs w:val="24"/>
        </w:rPr>
        <w:t>EP</w:t>
      </w:r>
      <w:r w:rsidRPr="00161CD4">
        <w:rPr>
          <w:rFonts w:ascii="Times New Roman" w:hAnsi="Times New Roman" w:cs="Times New Roman"/>
          <w:sz w:val="24"/>
          <w:szCs w:val="24"/>
        </w:rPr>
        <w:t>)</w:t>
      </w:r>
      <w:r w:rsidRPr="00161CD4">
        <w:rPr>
          <w:rFonts w:ascii="Times New Roman" w:hAnsi="Times New Roman" w:cs="Times New Roman"/>
          <w:sz w:val="24"/>
          <w:szCs w:val="24"/>
        </w:rPr>
        <w:tab/>
      </w:r>
    </w:p>
    <w:p w:rsidR="00F20DFC" w:rsidRPr="00161CD4" w:rsidRDefault="00F20DFC" w:rsidP="00D61751">
      <w:pPr>
        <w:tabs>
          <w:tab w:val="left" w:pos="3686"/>
        </w:tabs>
        <w:spacing w:after="0"/>
        <w:ind w:left="3686" w:hanging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161CD4">
        <w:rPr>
          <w:rFonts w:ascii="Times New Roman" w:hAnsi="Times New Roman" w:cs="Times New Roman"/>
          <w:b/>
          <w:sz w:val="24"/>
          <w:szCs w:val="24"/>
        </w:rPr>
        <w:tab/>
      </w:r>
      <w:r w:rsidR="003C61FB" w:rsidRPr="00161CD4">
        <w:rPr>
          <w:rFonts w:ascii="Times New Roman" w:hAnsi="Times New Roman" w:cs="Times New Roman"/>
          <w:sz w:val="24"/>
          <w:szCs w:val="24"/>
        </w:rPr>
        <w:t>Refurbishment, Modification and Upgrading of North Lantau Transfer Station and Outlying Islands Transfer Facilities</w:t>
      </w:r>
      <w:r w:rsidR="005A73A9" w:rsidRPr="00161CD4">
        <w:rPr>
          <w:rFonts w:ascii="Times New Roman" w:hAnsi="Times New Roman" w:cs="Times New Roman"/>
          <w:sz w:val="24"/>
          <w:szCs w:val="24"/>
        </w:rPr>
        <w:t xml:space="preserve"> – Investigation, Design and Construction</w:t>
      </w:r>
    </w:p>
    <w:p w:rsidR="00F20DFC" w:rsidRPr="00161CD4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DFC" w:rsidRPr="00161CD4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161CD4">
        <w:rPr>
          <w:rFonts w:ascii="Times New Roman" w:hAnsi="Times New Roman" w:cs="Times New Roman"/>
          <w:b/>
          <w:sz w:val="24"/>
          <w:szCs w:val="24"/>
        </w:rPr>
        <w:tab/>
      </w:r>
      <w:r w:rsidR="00906490" w:rsidRPr="00161CD4">
        <w:rPr>
          <w:rFonts w:ascii="Times New Roman" w:hAnsi="Times New Roman" w:cs="Times New Roman"/>
          <w:sz w:val="24"/>
          <w:szCs w:val="24"/>
        </w:rPr>
        <w:t>2</w:t>
      </w:r>
      <w:r w:rsidR="00B92FE9" w:rsidRPr="00161CD4">
        <w:rPr>
          <w:rFonts w:ascii="Times New Roman" w:hAnsi="Times New Roman" w:cs="Times New Roman"/>
          <w:sz w:val="24"/>
          <w:szCs w:val="24"/>
        </w:rPr>
        <w:t>2</w:t>
      </w:r>
      <w:r w:rsidR="003C61FB" w:rsidRPr="00161CD4">
        <w:rPr>
          <w:rFonts w:ascii="Times New Roman" w:hAnsi="Times New Roman" w:cs="Times New Roman"/>
          <w:sz w:val="24"/>
          <w:szCs w:val="24"/>
        </w:rPr>
        <w:t xml:space="preserve"> </w:t>
      </w:r>
      <w:r w:rsidR="00906490" w:rsidRPr="00161CD4">
        <w:rPr>
          <w:rFonts w:ascii="Times New Roman" w:hAnsi="Times New Roman" w:cs="Times New Roman"/>
          <w:sz w:val="24"/>
          <w:szCs w:val="24"/>
        </w:rPr>
        <w:t>November</w:t>
      </w:r>
      <w:r w:rsidR="003C61FB" w:rsidRPr="00161CD4">
        <w:rPr>
          <w:rFonts w:ascii="Times New Roman" w:hAnsi="Times New Roman" w:cs="Times New Roman"/>
          <w:sz w:val="24"/>
          <w:szCs w:val="24"/>
        </w:rPr>
        <w:t xml:space="preserve"> </w:t>
      </w:r>
      <w:r w:rsidR="00F83646" w:rsidRPr="00161CD4">
        <w:rPr>
          <w:rFonts w:ascii="Times New Roman" w:hAnsi="Times New Roman" w:cs="Times New Roman"/>
          <w:sz w:val="24"/>
          <w:szCs w:val="24"/>
        </w:rPr>
        <w:t>2019</w:t>
      </w:r>
    </w:p>
    <w:p w:rsidR="00F20DFC" w:rsidRPr="00161CD4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161CD4">
        <w:rPr>
          <w:rFonts w:ascii="Times New Roman" w:hAnsi="Times New Roman" w:cs="Times New Roman"/>
          <w:b/>
          <w:sz w:val="24"/>
          <w:szCs w:val="24"/>
        </w:rPr>
        <w:tab/>
      </w:r>
      <w:r w:rsidR="00906490" w:rsidRPr="00161CD4">
        <w:rPr>
          <w:rFonts w:ascii="Times New Roman" w:hAnsi="Times New Roman" w:cs="Times New Roman"/>
          <w:sz w:val="24"/>
          <w:szCs w:val="24"/>
        </w:rPr>
        <w:t xml:space="preserve">12:00 noon </w:t>
      </w:r>
      <w:r w:rsidR="000D017D" w:rsidRPr="00161CD4">
        <w:rPr>
          <w:rFonts w:ascii="Times New Roman" w:hAnsi="Times New Roman" w:cs="Times New Roman"/>
          <w:sz w:val="24"/>
          <w:szCs w:val="24"/>
        </w:rPr>
        <w:t xml:space="preserve">on </w:t>
      </w:r>
      <w:r w:rsidR="00237CA6" w:rsidRPr="00161CD4">
        <w:rPr>
          <w:rFonts w:ascii="Times New Roman" w:hAnsi="Times New Roman" w:cs="Times New Roman"/>
          <w:sz w:val="24"/>
          <w:szCs w:val="24"/>
        </w:rPr>
        <w:t>2</w:t>
      </w:r>
      <w:r w:rsidR="00D61751" w:rsidRPr="00161CD4">
        <w:rPr>
          <w:rFonts w:ascii="Times New Roman" w:hAnsi="Times New Roman" w:cs="Times New Roman"/>
          <w:sz w:val="24"/>
          <w:szCs w:val="24"/>
        </w:rPr>
        <w:t>7</w:t>
      </w:r>
      <w:r w:rsidR="00906490" w:rsidRPr="00161CD4">
        <w:rPr>
          <w:rFonts w:ascii="Times New Roman" w:hAnsi="Times New Roman" w:cs="Times New Roman"/>
          <w:sz w:val="24"/>
          <w:szCs w:val="24"/>
        </w:rPr>
        <w:t xml:space="preserve"> December 2019</w:t>
      </w:r>
    </w:p>
    <w:p w:rsidR="002C496A" w:rsidRPr="00161CD4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DFC" w:rsidRPr="00161CD4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161CD4">
        <w:rPr>
          <w:rFonts w:ascii="Times New Roman" w:hAnsi="Times New Roman" w:cs="Times New Roman"/>
          <w:b/>
          <w:sz w:val="24"/>
          <w:szCs w:val="24"/>
        </w:rPr>
        <w:tab/>
      </w:r>
      <w:r w:rsidR="00DB5A5B" w:rsidRPr="00161CD4">
        <w:rPr>
          <w:rFonts w:ascii="Times New Roman" w:hAnsi="Times New Roman" w:cs="Times New Roman"/>
          <w:sz w:val="24"/>
          <w:szCs w:val="24"/>
        </w:rPr>
        <w:t>Ms. Fanny WONG</w:t>
      </w:r>
    </w:p>
    <w:p w:rsidR="00F20DFC" w:rsidRPr="00161CD4" w:rsidRDefault="00F20DFC" w:rsidP="002C496A">
      <w:pPr>
        <w:tabs>
          <w:tab w:val="left" w:pos="3686"/>
        </w:tabs>
        <w:spacing w:after="0"/>
        <w:rPr>
          <w:i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161CD4">
        <w:rPr>
          <w:rFonts w:ascii="Times New Roman" w:hAnsi="Times New Roman" w:cs="Times New Roman"/>
          <w:b/>
          <w:sz w:val="24"/>
          <w:szCs w:val="24"/>
        </w:rPr>
        <w:tab/>
      </w:r>
      <w:r w:rsidR="00DB5A5B" w:rsidRPr="00161CD4">
        <w:rPr>
          <w:rFonts w:ascii="Times New Roman" w:hAnsi="Times New Roman" w:cs="Times New Roman"/>
          <w:sz w:val="24"/>
          <w:szCs w:val="24"/>
        </w:rPr>
        <w:t>2872 1887</w:t>
      </w:r>
    </w:p>
    <w:p w:rsidR="00F20DFC" w:rsidRPr="00161CD4" w:rsidRDefault="00F20DFC" w:rsidP="002C496A">
      <w:pPr>
        <w:tabs>
          <w:tab w:val="left" w:pos="3686"/>
        </w:tabs>
        <w:spacing w:after="0"/>
        <w:rPr>
          <w:i/>
          <w:sz w:val="24"/>
          <w:szCs w:val="24"/>
        </w:rPr>
      </w:pPr>
    </w:p>
    <w:p w:rsidR="002C496A" w:rsidRPr="00161CD4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 xml:space="preserve">Consultants in Group </w:t>
      </w:r>
      <w:r w:rsidR="00DB5A5B" w:rsidRPr="00161CD4">
        <w:rPr>
          <w:rFonts w:ascii="Times New Roman" w:hAnsi="Times New Roman" w:cs="Times New Roman"/>
          <w:sz w:val="24"/>
          <w:szCs w:val="24"/>
        </w:rPr>
        <w:t>2</w:t>
      </w:r>
      <w:r w:rsidRPr="00161CD4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DB5A5B" w:rsidRPr="00161CD4">
        <w:rPr>
          <w:rFonts w:ascii="Times New Roman" w:hAnsi="Times New Roman" w:cs="Times New Roman"/>
          <w:sz w:val="24"/>
          <w:szCs w:val="24"/>
        </w:rPr>
        <w:t>Environmental (EP)</w:t>
      </w:r>
      <w:r w:rsidRPr="00161CD4">
        <w:rPr>
          <w:rFonts w:ascii="Times New Roman" w:hAnsi="Times New Roman" w:cs="Times New Roman"/>
          <w:sz w:val="24"/>
          <w:szCs w:val="24"/>
        </w:rPr>
        <w:t xml:space="preserve"> maintained by EACSB are invited to </w:t>
      </w:r>
      <w:r w:rsidR="0057547A" w:rsidRPr="00161CD4">
        <w:rPr>
          <w:rFonts w:ascii="Times New Roman" w:hAnsi="Times New Roman" w:cs="Times New Roman"/>
          <w:sz w:val="24"/>
          <w:szCs w:val="24"/>
        </w:rPr>
        <w:t>submit Technical and Fee Proposal</w:t>
      </w:r>
      <w:r w:rsidR="006E5964" w:rsidRPr="00161CD4">
        <w:rPr>
          <w:rFonts w:ascii="Times New Roman" w:hAnsi="Times New Roman" w:cs="Times New Roman"/>
          <w:sz w:val="24"/>
          <w:szCs w:val="24"/>
        </w:rPr>
        <w:t>s</w:t>
      </w:r>
      <w:r w:rsidRPr="00161CD4">
        <w:rPr>
          <w:rFonts w:ascii="Times New Roman" w:hAnsi="Times New Roman" w:cs="Times New Roman"/>
          <w:sz w:val="24"/>
          <w:szCs w:val="24"/>
        </w:rPr>
        <w:t xml:space="preserve"> </w:t>
      </w:r>
      <w:r w:rsidR="0057547A" w:rsidRPr="00161CD4">
        <w:rPr>
          <w:rFonts w:ascii="Times New Roman" w:hAnsi="Times New Roman" w:cs="Times New Roman"/>
          <w:sz w:val="24"/>
          <w:szCs w:val="24"/>
        </w:rPr>
        <w:t xml:space="preserve">for </w:t>
      </w:r>
      <w:r w:rsidR="006E5964" w:rsidRPr="00161CD4">
        <w:rPr>
          <w:rFonts w:ascii="Times New Roman" w:hAnsi="Times New Roman" w:cs="Times New Roman"/>
          <w:sz w:val="24"/>
          <w:szCs w:val="24"/>
        </w:rPr>
        <w:t>undertaking</w:t>
      </w:r>
      <w:r w:rsidR="0057547A" w:rsidRPr="00161CD4">
        <w:rPr>
          <w:rFonts w:ascii="Times New Roman" w:hAnsi="Times New Roman" w:cs="Times New Roman"/>
          <w:sz w:val="24"/>
          <w:szCs w:val="24"/>
        </w:rPr>
        <w:t xml:space="preserve"> </w:t>
      </w:r>
      <w:r w:rsidRPr="00161CD4">
        <w:rPr>
          <w:rFonts w:ascii="Times New Roman" w:hAnsi="Times New Roman" w:cs="Times New Roman"/>
          <w:sz w:val="24"/>
          <w:szCs w:val="24"/>
        </w:rPr>
        <w:t xml:space="preserve">the </w:t>
      </w:r>
      <w:r w:rsidR="0057547A" w:rsidRPr="00161CD4">
        <w:rPr>
          <w:rFonts w:ascii="Times New Roman" w:hAnsi="Times New Roman" w:cs="Times New Roman"/>
          <w:sz w:val="24"/>
          <w:szCs w:val="24"/>
        </w:rPr>
        <w:t>a</w:t>
      </w:r>
      <w:r w:rsidRPr="00161CD4">
        <w:rPr>
          <w:rFonts w:ascii="Times New Roman" w:hAnsi="Times New Roman" w:cs="Times New Roman"/>
          <w:sz w:val="24"/>
          <w:szCs w:val="24"/>
        </w:rPr>
        <w:t xml:space="preserve">bove </w:t>
      </w:r>
      <w:r w:rsidR="006E5964" w:rsidRPr="00161CD4">
        <w:rPr>
          <w:rFonts w:ascii="Times New Roman" w:hAnsi="Times New Roman" w:cs="Times New Roman"/>
          <w:sz w:val="24"/>
          <w:szCs w:val="24"/>
        </w:rPr>
        <w:t>consultancy</w:t>
      </w:r>
      <w:r w:rsidRPr="00161C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161CD4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161CD4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161CD4">
        <w:rPr>
          <w:rFonts w:ascii="Times New Roman" w:hAnsi="Times New Roman" w:cs="Times New Roman"/>
          <w:b/>
          <w:sz w:val="24"/>
          <w:szCs w:val="24"/>
        </w:rPr>
        <w:t>Le</w:t>
      </w:r>
      <w:r w:rsidRPr="00161CD4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161CD4" w:rsidRDefault="00DB5A5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61CD4">
        <w:rPr>
          <w:rFonts w:ascii="Times New Roman" w:hAnsi="Times New Roman" w:cs="Times New Roman"/>
          <w:sz w:val="24"/>
          <w:szCs w:val="24"/>
          <w:u w:val="single"/>
        </w:rPr>
        <w:t>Environmental (EP) – Group 2</w:t>
      </w:r>
    </w:p>
    <w:p w:rsidR="005016AE" w:rsidRPr="00161CD4" w:rsidRDefault="00DB5A5B" w:rsidP="00D61751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Allied Environmental Consultants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Atkins China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Black &amp; Veatch Hong Kong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BMT Hong Kong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1CD4">
        <w:rPr>
          <w:rFonts w:ascii="Times New Roman" w:hAnsi="Times New Roman" w:cs="Times New Roman"/>
          <w:sz w:val="24"/>
          <w:szCs w:val="24"/>
        </w:rPr>
        <w:t>Cinotech</w:t>
      </w:r>
      <w:proofErr w:type="spellEnd"/>
      <w:r w:rsidRPr="00161CD4">
        <w:rPr>
          <w:rFonts w:ascii="Times New Roman" w:hAnsi="Times New Roman" w:cs="Times New Roman"/>
          <w:sz w:val="24"/>
          <w:szCs w:val="24"/>
        </w:rPr>
        <w:t xml:space="preserve"> Consultants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ERM-Hong Kong,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Kingsford Environmental (Hong Kong)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Meinhardt Infrastructure and Environment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Mott MacDonald Hong Kong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Ramboll Hong Kong Limited</w:t>
      </w:r>
    </w:p>
    <w:p w:rsidR="00DB5A5B" w:rsidRPr="00161CD4" w:rsidRDefault="00DB5A5B" w:rsidP="00DB5A5B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SMEC Asia Limited</w:t>
      </w:r>
    </w:p>
    <w:p w:rsidR="00DB5A5B" w:rsidRPr="00161CD4" w:rsidRDefault="00DB5A5B" w:rsidP="00D61751">
      <w:pPr>
        <w:pStyle w:val="a7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sz w:val="24"/>
          <w:szCs w:val="24"/>
        </w:rPr>
        <w:t>WSP (Asia) Limited</w:t>
      </w:r>
    </w:p>
    <w:p w:rsidR="001F226A" w:rsidRPr="00161CD4" w:rsidRDefault="001F226A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A0EEC" w:rsidRPr="00161CD4" w:rsidRDefault="00DA0EEC" w:rsidP="00DA0E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61CD4">
        <w:rPr>
          <w:rFonts w:ascii="Times New Roman" w:hAnsi="Times New Roman" w:cs="Times New Roman"/>
          <w:sz w:val="24"/>
          <w:szCs w:val="24"/>
          <w:lang w:eastAsia="zh-HK"/>
        </w:rPr>
        <w:t xml:space="preserve">The scope of this consultancy, which is currently expected to commence </w:t>
      </w:r>
      <w:r w:rsidR="00DB5A5B" w:rsidRPr="00161CD4">
        <w:rPr>
          <w:rFonts w:ascii="Times New Roman" w:hAnsi="Times New Roman" w:cs="Times New Roman"/>
          <w:sz w:val="24"/>
          <w:szCs w:val="24"/>
          <w:lang w:eastAsia="zh-HK"/>
        </w:rPr>
        <w:t>in Q1</w:t>
      </w:r>
      <w:r w:rsidR="007B4DE5" w:rsidRPr="00161CD4">
        <w:rPr>
          <w:rFonts w:ascii="Times New Roman" w:hAnsi="Times New Roman" w:cs="Times New Roman"/>
          <w:sz w:val="24"/>
          <w:szCs w:val="24"/>
          <w:lang w:eastAsia="zh-HK"/>
        </w:rPr>
        <w:t>/Q2</w:t>
      </w:r>
      <w:r w:rsidR="00DB5A5B" w:rsidRPr="00161CD4">
        <w:rPr>
          <w:rFonts w:ascii="Times New Roman" w:hAnsi="Times New Roman" w:cs="Times New Roman"/>
          <w:sz w:val="24"/>
          <w:szCs w:val="24"/>
          <w:lang w:eastAsia="zh-HK"/>
        </w:rPr>
        <w:t xml:space="preserve"> 2020</w:t>
      </w:r>
      <w:r w:rsidRPr="00161CD4">
        <w:rPr>
          <w:rFonts w:ascii="Times New Roman" w:hAnsi="Times New Roman" w:cs="Times New Roman"/>
          <w:sz w:val="24"/>
          <w:szCs w:val="24"/>
          <w:lang w:eastAsia="zh-HK"/>
        </w:rPr>
        <w:t xml:space="preserve">, is indicated in the Brief.  </w:t>
      </w:r>
      <w:r w:rsidR="000D017D" w:rsidRPr="00161CD4">
        <w:rPr>
          <w:rFonts w:ascii="Times New Roman" w:hAnsi="Times New Roman" w:cs="Times New Roman"/>
          <w:sz w:val="24"/>
          <w:szCs w:val="24"/>
          <w:lang w:eastAsia="zh-HK"/>
        </w:rPr>
        <w:t>Interested consultants may obtain the Electronic Invitation Packages (EIP) in the context of Works Bureau Technical Circular No. 17/2001 for this Assignment by contacting the following officers of Environmental Protection Department:</w:t>
      </w:r>
    </w:p>
    <w:p w:rsidR="000D017D" w:rsidRPr="00161CD4" w:rsidRDefault="000D017D" w:rsidP="00DA0E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61751" w:rsidRPr="00161CD4" w:rsidRDefault="00D61751" w:rsidP="00DA0E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407"/>
        <w:gridCol w:w="1417"/>
        <w:gridCol w:w="1259"/>
      </w:tblGrid>
      <w:tr w:rsidR="003C06C2" w:rsidRPr="00161CD4" w:rsidTr="00D61751">
        <w:tc>
          <w:tcPr>
            <w:tcW w:w="2547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 w:rsidRPr="00161CD4"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  <w:lastRenderedPageBreak/>
              <w:t>Name</w:t>
            </w:r>
          </w:p>
        </w:tc>
        <w:tc>
          <w:tcPr>
            <w:tcW w:w="3407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 w:rsidRPr="00161CD4"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  <w:t>Post</w:t>
            </w:r>
          </w:p>
        </w:tc>
        <w:tc>
          <w:tcPr>
            <w:tcW w:w="1417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 w:rsidRPr="00161CD4"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  <w:t>Telephone</w:t>
            </w:r>
          </w:p>
        </w:tc>
        <w:tc>
          <w:tcPr>
            <w:tcW w:w="1259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 w:rsidRPr="00161CD4"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  <w:t>Fax No.</w:t>
            </w:r>
          </w:p>
        </w:tc>
      </w:tr>
      <w:tr w:rsidR="003C06C2" w:rsidRPr="00161CD4" w:rsidTr="00D61751">
        <w:tc>
          <w:tcPr>
            <w:tcW w:w="2547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M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s. Fanny WONG</w:t>
            </w:r>
          </w:p>
        </w:tc>
        <w:tc>
          <w:tcPr>
            <w:tcW w:w="3407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enior Environmental Protection Officer</w:t>
            </w:r>
          </w:p>
        </w:tc>
        <w:tc>
          <w:tcPr>
            <w:tcW w:w="1417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872 1887</w:t>
            </w:r>
          </w:p>
        </w:tc>
        <w:tc>
          <w:tcPr>
            <w:tcW w:w="1259" w:type="dxa"/>
          </w:tcPr>
          <w:p w:rsidR="003C06C2" w:rsidRPr="00161CD4" w:rsidRDefault="003C06C2" w:rsidP="001F22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872 0501</w:t>
            </w:r>
          </w:p>
        </w:tc>
      </w:tr>
      <w:tr w:rsidR="003C06C2" w:rsidRPr="00161CD4" w:rsidTr="00D61751">
        <w:tc>
          <w:tcPr>
            <w:tcW w:w="2547" w:type="dxa"/>
          </w:tcPr>
          <w:p w:rsidR="003C06C2" w:rsidRPr="00161CD4" w:rsidRDefault="003C06C2" w:rsidP="003C06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M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s. Kimmy CHEUNG</w:t>
            </w:r>
          </w:p>
        </w:tc>
        <w:tc>
          <w:tcPr>
            <w:tcW w:w="3407" w:type="dxa"/>
          </w:tcPr>
          <w:p w:rsidR="003C06C2" w:rsidRPr="00161CD4" w:rsidRDefault="003C06C2" w:rsidP="003C06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ssistant Environmental Protection Officer</w:t>
            </w:r>
          </w:p>
        </w:tc>
        <w:tc>
          <w:tcPr>
            <w:tcW w:w="1417" w:type="dxa"/>
          </w:tcPr>
          <w:p w:rsidR="003C06C2" w:rsidRPr="00161CD4" w:rsidRDefault="003C06C2" w:rsidP="003C06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872 1789</w:t>
            </w:r>
          </w:p>
        </w:tc>
        <w:tc>
          <w:tcPr>
            <w:tcW w:w="1259" w:type="dxa"/>
          </w:tcPr>
          <w:p w:rsidR="003C06C2" w:rsidRPr="00161CD4" w:rsidRDefault="003C06C2" w:rsidP="003C06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61C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Pr="00161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872 0501</w:t>
            </w:r>
          </w:p>
        </w:tc>
      </w:tr>
    </w:tbl>
    <w:p w:rsidR="00DA0EEC" w:rsidRPr="00161CD4" w:rsidRDefault="00DA0EEC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41002" w:rsidRPr="00141002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61CD4">
        <w:rPr>
          <w:rFonts w:ascii="Times New Roman" w:hAnsi="Times New Roman" w:cs="Times New Roman"/>
          <w:sz w:val="24"/>
          <w:szCs w:val="24"/>
        </w:rPr>
        <w:t xml:space="preserve">Attention is drawn to bidding restriction and tender award restriction set out in the respective invitation letter sent to the above consultants and </w:t>
      </w:r>
      <w:r w:rsidR="00A14DD5" w:rsidRPr="00161CD4">
        <w:rPr>
          <w:rFonts w:ascii="Times New Roman" w:hAnsi="Times New Roman" w:cs="Times New Roman"/>
          <w:sz w:val="24"/>
          <w:szCs w:val="24"/>
        </w:rPr>
        <w:t>relevant sections of the Guidelines attached to DEVB TC(W) No. 5/2018.</w:t>
      </w:r>
      <w:bookmarkStart w:id="0" w:name="_GoBack"/>
      <w:bookmarkEnd w:id="0"/>
      <w:r w:rsidR="00A14DD5" w:rsidRPr="00815F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002" w:rsidRPr="001410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7F" w:rsidRDefault="00FF177F" w:rsidP="006152EC">
      <w:pPr>
        <w:spacing w:after="0" w:line="240" w:lineRule="auto"/>
      </w:pPr>
      <w:r>
        <w:separator/>
      </w:r>
    </w:p>
  </w:endnote>
  <w:endnote w:type="continuationSeparator" w:id="0">
    <w:p w:rsidR="00FF177F" w:rsidRDefault="00FF177F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7F" w:rsidRDefault="00FF177F" w:rsidP="006152EC">
      <w:pPr>
        <w:spacing w:after="0" w:line="240" w:lineRule="auto"/>
      </w:pPr>
      <w:r>
        <w:separator/>
      </w:r>
    </w:p>
  </w:footnote>
  <w:footnote w:type="continuationSeparator" w:id="0">
    <w:p w:rsidR="00FF177F" w:rsidRDefault="00FF177F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473D6"/>
    <w:multiLevelType w:val="hybridMultilevel"/>
    <w:tmpl w:val="D93C628C"/>
    <w:lvl w:ilvl="0" w:tplc="3054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EC"/>
    <w:rsid w:val="000D017D"/>
    <w:rsid w:val="00141002"/>
    <w:rsid w:val="00161CD4"/>
    <w:rsid w:val="001F226A"/>
    <w:rsid w:val="00237CA6"/>
    <w:rsid w:val="00292CD8"/>
    <w:rsid w:val="002B5FCA"/>
    <w:rsid w:val="002C130D"/>
    <w:rsid w:val="002C496A"/>
    <w:rsid w:val="002F68C6"/>
    <w:rsid w:val="00362E0E"/>
    <w:rsid w:val="00394DAB"/>
    <w:rsid w:val="003C06C2"/>
    <w:rsid w:val="003C61FB"/>
    <w:rsid w:val="004C22CC"/>
    <w:rsid w:val="005016AE"/>
    <w:rsid w:val="00531E02"/>
    <w:rsid w:val="00564638"/>
    <w:rsid w:val="0057547A"/>
    <w:rsid w:val="00584341"/>
    <w:rsid w:val="005A73A9"/>
    <w:rsid w:val="005D2761"/>
    <w:rsid w:val="005E7524"/>
    <w:rsid w:val="006152EC"/>
    <w:rsid w:val="00686A82"/>
    <w:rsid w:val="006976F1"/>
    <w:rsid w:val="006E5964"/>
    <w:rsid w:val="007040CE"/>
    <w:rsid w:val="00793FE7"/>
    <w:rsid w:val="007B4DE5"/>
    <w:rsid w:val="00815FCC"/>
    <w:rsid w:val="008C5FE3"/>
    <w:rsid w:val="008E5C23"/>
    <w:rsid w:val="00906490"/>
    <w:rsid w:val="00934DFC"/>
    <w:rsid w:val="009C0AEA"/>
    <w:rsid w:val="009F621A"/>
    <w:rsid w:val="00A14DD5"/>
    <w:rsid w:val="00A72327"/>
    <w:rsid w:val="00B75322"/>
    <w:rsid w:val="00B92FE9"/>
    <w:rsid w:val="00BE5494"/>
    <w:rsid w:val="00C1717D"/>
    <w:rsid w:val="00C81316"/>
    <w:rsid w:val="00CC54A4"/>
    <w:rsid w:val="00D25782"/>
    <w:rsid w:val="00D61751"/>
    <w:rsid w:val="00D65210"/>
    <w:rsid w:val="00D71E28"/>
    <w:rsid w:val="00DA0EEC"/>
    <w:rsid w:val="00DA69C0"/>
    <w:rsid w:val="00DB5A5B"/>
    <w:rsid w:val="00DD6669"/>
    <w:rsid w:val="00EC77D4"/>
    <w:rsid w:val="00F20DFC"/>
    <w:rsid w:val="00F83646"/>
    <w:rsid w:val="00FA183D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85AF2-D2D2-42F2-B3E5-8BC3161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E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E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C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96FF-859D-421B-8305-5240D574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YIP Wai Ho Angus</dc:creator>
  <cp:lastModifiedBy>AE(TD)52</cp:lastModifiedBy>
  <cp:revision>3</cp:revision>
  <cp:lastPrinted>2018-12-28T04:09:00Z</cp:lastPrinted>
  <dcterms:created xsi:type="dcterms:W3CDTF">2019-11-21T12:20:00Z</dcterms:created>
  <dcterms:modified xsi:type="dcterms:W3CDTF">2019-11-22T00:29:00Z</dcterms:modified>
</cp:coreProperties>
</file>