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FC" w:rsidRPr="00E817F7" w:rsidRDefault="00F20DFC" w:rsidP="00F20D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7F7">
        <w:rPr>
          <w:rFonts w:ascii="Times New Roman" w:hAnsi="Times New Roman" w:cs="Times New Roman"/>
          <w:sz w:val="24"/>
          <w:szCs w:val="24"/>
          <w:u w:val="single"/>
        </w:rPr>
        <w:t>Notice of Invitation for Expression of Interest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666"/>
      </w:tblGrid>
      <w:tr w:rsidR="00A32309" w:rsidTr="00A32309">
        <w:tc>
          <w:tcPr>
            <w:tcW w:w="3964" w:type="dxa"/>
          </w:tcPr>
          <w:p w:rsidR="00A32309" w:rsidRDefault="00A32309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FC">
              <w:rPr>
                <w:rFonts w:ascii="Times New Roman" w:hAnsi="Times New Roman" w:cs="Times New Roman"/>
                <w:b/>
                <w:sz w:val="24"/>
                <w:szCs w:val="24"/>
              </w:rPr>
              <w:t>Consultancy Agreement No.:</w:t>
            </w:r>
          </w:p>
        </w:tc>
        <w:tc>
          <w:tcPr>
            <w:tcW w:w="4666" w:type="dxa"/>
          </w:tcPr>
          <w:p w:rsidR="00A32309" w:rsidRDefault="00B80D31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68/2019 (DS</w:t>
            </w:r>
            <w:r w:rsidR="00A32309" w:rsidRPr="00A3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2309" w:rsidTr="00A32309">
        <w:tc>
          <w:tcPr>
            <w:tcW w:w="3964" w:type="dxa"/>
          </w:tcPr>
          <w:p w:rsidR="00A32309" w:rsidRDefault="00A32309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FC">
              <w:rPr>
                <w:rFonts w:ascii="Times New Roman" w:hAnsi="Times New Roman" w:cs="Times New Roman"/>
                <w:b/>
                <w:sz w:val="24"/>
                <w:szCs w:val="24"/>
              </w:rPr>
              <w:t>Agreement Title:</w:t>
            </w:r>
            <w:r w:rsidRPr="00087F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66" w:type="dxa"/>
          </w:tcPr>
          <w:p w:rsidR="00A32309" w:rsidRPr="00FB1B75" w:rsidRDefault="00904B2B" w:rsidP="00904B2B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B">
              <w:rPr>
                <w:rFonts w:ascii="Times New Roman" w:hAnsi="Times New Roman" w:cs="Times New Roman"/>
                <w:sz w:val="24"/>
                <w:szCs w:val="24"/>
              </w:rPr>
              <w:t>Strategic Sewerage Catchment Review and Infrastructure Planning for North District South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B2B">
              <w:rPr>
                <w:rFonts w:ascii="Times New Roman" w:hAnsi="Times New Roman" w:cs="Times New Roman"/>
                <w:sz w:val="24"/>
                <w:szCs w:val="24"/>
              </w:rPr>
              <w:t>and Feasibility Study on North District Sewerage – Feasibility Study</w:t>
            </w:r>
          </w:p>
        </w:tc>
      </w:tr>
      <w:tr w:rsidR="00E817F7" w:rsidTr="00A32309">
        <w:tc>
          <w:tcPr>
            <w:tcW w:w="3964" w:type="dxa"/>
          </w:tcPr>
          <w:p w:rsidR="00E817F7" w:rsidRPr="00087FFC" w:rsidRDefault="00E817F7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E817F7" w:rsidRPr="00904B2B" w:rsidRDefault="00E817F7" w:rsidP="00A32309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17F7" w:rsidTr="00A32309">
        <w:tc>
          <w:tcPr>
            <w:tcW w:w="3964" w:type="dxa"/>
          </w:tcPr>
          <w:p w:rsidR="00E817F7" w:rsidRPr="00087FFC" w:rsidRDefault="00E817F7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FC">
              <w:rPr>
                <w:rFonts w:ascii="Times New Roman" w:hAnsi="Times New Roman" w:cs="Times New Roman"/>
                <w:b/>
                <w:sz w:val="24"/>
                <w:szCs w:val="24"/>
              </w:rPr>
              <w:t>Invitation Date:</w:t>
            </w:r>
          </w:p>
        </w:tc>
        <w:tc>
          <w:tcPr>
            <w:tcW w:w="4666" w:type="dxa"/>
          </w:tcPr>
          <w:p w:rsidR="00E817F7" w:rsidRPr="00E817F7" w:rsidRDefault="00B80D31" w:rsidP="00B80D31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A15FB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817F7" w:rsidTr="00A32309">
        <w:tc>
          <w:tcPr>
            <w:tcW w:w="3964" w:type="dxa"/>
          </w:tcPr>
          <w:p w:rsidR="00E817F7" w:rsidRPr="00087FFC" w:rsidRDefault="00E817F7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FC">
              <w:rPr>
                <w:rFonts w:ascii="Times New Roman" w:hAnsi="Times New Roman" w:cs="Times New Roman"/>
                <w:b/>
                <w:sz w:val="24"/>
                <w:szCs w:val="24"/>
              </w:rPr>
              <w:t>Closing Date and Time:</w:t>
            </w:r>
          </w:p>
        </w:tc>
        <w:tc>
          <w:tcPr>
            <w:tcW w:w="4666" w:type="dxa"/>
          </w:tcPr>
          <w:p w:rsidR="00E817F7" w:rsidRPr="00A32309" w:rsidRDefault="00E817F7" w:rsidP="00B80D3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 xml:space="preserve">12:00 noon on </w:t>
            </w:r>
            <w:r w:rsidR="00B80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3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A15FB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817F7" w:rsidTr="00A32309">
        <w:tc>
          <w:tcPr>
            <w:tcW w:w="3964" w:type="dxa"/>
          </w:tcPr>
          <w:p w:rsidR="00E817F7" w:rsidRPr="00087FFC" w:rsidRDefault="00E817F7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:rsidR="00E817F7" w:rsidRPr="0064328B" w:rsidRDefault="00E817F7" w:rsidP="00E817F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F7" w:rsidTr="00A32309">
        <w:tc>
          <w:tcPr>
            <w:tcW w:w="3964" w:type="dxa"/>
          </w:tcPr>
          <w:p w:rsidR="00E817F7" w:rsidRPr="00087FFC" w:rsidRDefault="00E817F7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FC">
              <w:rPr>
                <w:rFonts w:ascii="Times New Roman" w:hAnsi="Times New Roman" w:cs="Times New Roman"/>
                <w:b/>
                <w:sz w:val="24"/>
                <w:szCs w:val="24"/>
              </w:rPr>
              <w:t>Contact Person:</w:t>
            </w:r>
          </w:p>
        </w:tc>
        <w:tc>
          <w:tcPr>
            <w:tcW w:w="4666" w:type="dxa"/>
          </w:tcPr>
          <w:p w:rsidR="00E817F7" w:rsidRPr="0064328B" w:rsidRDefault="00E817F7" w:rsidP="00B80D3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B80D31">
              <w:rPr>
                <w:rFonts w:ascii="Times New Roman" w:hAnsi="Times New Roman" w:cs="Times New Roman"/>
                <w:sz w:val="24"/>
                <w:szCs w:val="24"/>
              </w:rPr>
              <w:t>Eric FONG</w:t>
            </w:r>
          </w:p>
        </w:tc>
      </w:tr>
      <w:tr w:rsidR="00E817F7" w:rsidTr="00A32309">
        <w:tc>
          <w:tcPr>
            <w:tcW w:w="3964" w:type="dxa"/>
          </w:tcPr>
          <w:p w:rsidR="00E817F7" w:rsidRPr="00087FFC" w:rsidRDefault="00E817F7" w:rsidP="002C496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DA">
              <w:rPr>
                <w:rFonts w:ascii="Times New Roman" w:hAnsi="Times New Roman" w:cs="Times New Roman"/>
                <w:b/>
                <w:sz w:val="24"/>
                <w:szCs w:val="24"/>
              </w:rPr>
              <w:t>Telephone No.:</w:t>
            </w:r>
          </w:p>
        </w:tc>
        <w:tc>
          <w:tcPr>
            <w:tcW w:w="4666" w:type="dxa"/>
          </w:tcPr>
          <w:p w:rsidR="00E817F7" w:rsidRPr="0064328B" w:rsidRDefault="00E817F7" w:rsidP="00E817F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D31">
              <w:rPr>
                <w:rFonts w:ascii="Times New Roman" w:hAnsi="Times New Roman" w:cs="Times New Roman"/>
                <w:sz w:val="24"/>
                <w:szCs w:val="24"/>
              </w:rPr>
              <w:t>107 8241</w:t>
            </w:r>
          </w:p>
        </w:tc>
      </w:tr>
    </w:tbl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Group </w:t>
      </w:r>
      <w:r w:rsidR="000874DA">
        <w:rPr>
          <w:rFonts w:ascii="Times New Roman" w:hAnsi="Times New Roman" w:cs="Times New Roman"/>
          <w:sz w:val="24"/>
          <w:szCs w:val="24"/>
        </w:rPr>
        <w:t>2</w:t>
      </w:r>
      <w:r w:rsidRPr="00087FFC">
        <w:rPr>
          <w:rFonts w:ascii="Times New Roman" w:hAnsi="Times New Roman" w:cs="Times New Roman"/>
          <w:sz w:val="24"/>
          <w:szCs w:val="24"/>
        </w:rPr>
        <w:t xml:space="preserve"> </w:t>
      </w:r>
      <w:r w:rsidR="00B80D31">
        <w:rPr>
          <w:rFonts w:ascii="Times New Roman" w:hAnsi="Times New Roman" w:cs="Times New Roman"/>
          <w:sz w:val="24"/>
          <w:szCs w:val="24"/>
        </w:rPr>
        <w:t xml:space="preserve">and 3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B80D31">
        <w:rPr>
          <w:rFonts w:ascii="Times New Roman" w:hAnsi="Times New Roman" w:cs="Times New Roman"/>
          <w:sz w:val="24"/>
          <w:szCs w:val="24"/>
        </w:rPr>
        <w:t>Drainage and Sewerage</w:t>
      </w:r>
      <w:r w:rsidR="00CD3478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CD3478" w:rsidRDefault="005016AE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D3478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B80D31">
        <w:rPr>
          <w:rFonts w:ascii="Times New Roman" w:hAnsi="Times New Roman" w:cs="Times New Roman"/>
          <w:sz w:val="24"/>
          <w:szCs w:val="24"/>
          <w:u w:val="single"/>
        </w:rPr>
        <w:t xml:space="preserve">Drainage and Sewerage </w:t>
      </w:r>
      <w:r w:rsidR="00FB4A9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D3478" w:rsidRPr="00CD3478">
        <w:rPr>
          <w:rFonts w:ascii="Times New Roman" w:hAnsi="Times New Roman" w:cs="Times New Roman"/>
          <w:sz w:val="24"/>
          <w:szCs w:val="24"/>
          <w:u w:val="single"/>
        </w:rPr>
        <w:t xml:space="preserve"> Group 2</w:t>
      </w:r>
      <w:r w:rsidR="00B80D31">
        <w:rPr>
          <w:rFonts w:ascii="Times New Roman" w:hAnsi="Times New Roman" w:cs="Times New Roman"/>
          <w:sz w:val="24"/>
          <w:szCs w:val="24"/>
          <w:u w:val="single"/>
        </w:rPr>
        <w:t xml:space="preserve"> and 3</w:t>
      </w:r>
      <w:r w:rsidRPr="00CD3478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AECOM Asia Company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Arcadis Design &amp; Engineering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Asia Engineering (HK)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Atkins China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Aurecon Hong Kong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Black &amp; Veatch (SEA) Pte. Ltd.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Black &amp; Veatch Hong Kong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C M Wong &amp; Associates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Halcrow China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Mannings (Asia) Consultants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Meinhardt Infrastructure and Environment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Mott MacDonald Hong Kong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Ove Arup &amp; Partners Hong Kong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SMEC Asia Limited</w:t>
      </w:r>
    </w:p>
    <w:p w:rsidR="00B80D31" w:rsidRPr="00B80D31" w:rsidRDefault="00B80D31" w:rsidP="00B80D31">
      <w:pPr>
        <w:numPr>
          <w:ilvl w:val="0"/>
          <w:numId w:val="2"/>
        </w:numPr>
        <w:tabs>
          <w:tab w:val="left" w:pos="1134"/>
        </w:tabs>
        <w:spacing w:after="0"/>
        <w:ind w:left="1134"/>
        <w:rPr>
          <w:rFonts w:ascii="Times New Roman" w:eastAsia="新細明體" w:hAnsi="Times New Roman" w:cs="Times New Roman"/>
          <w:sz w:val="24"/>
          <w:szCs w:val="24"/>
        </w:rPr>
      </w:pPr>
      <w:r w:rsidRPr="00B80D31">
        <w:rPr>
          <w:rFonts w:ascii="Times New Roman" w:eastAsia="新細明體" w:hAnsi="Times New Roman" w:cs="Times New Roman"/>
          <w:sz w:val="24"/>
          <w:szCs w:val="24"/>
        </w:rPr>
        <w:t>WSP (Asia) Limited</w:t>
      </w:r>
    </w:p>
    <w:p w:rsidR="001F226A" w:rsidRDefault="001F226A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D21BF" w:rsidRPr="009533B7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The scope of this consultancy, which is currently expected to comm</w:t>
      </w:r>
      <w:r w:rsidR="00E91FA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ence </w:t>
      </w:r>
      <w:r w:rsidR="00E91FA7">
        <w:rPr>
          <w:rFonts w:ascii="Times New Roman" w:hAnsi="Times New Roman" w:cs="Times New Roman"/>
          <w:sz w:val="24"/>
          <w:szCs w:val="24"/>
          <w:lang w:eastAsia="zh-HK"/>
        </w:rPr>
        <w:t>i</w:t>
      </w:r>
      <w:r w:rsidRPr="0064328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n </w:t>
      </w:r>
      <w:r w:rsidR="00F879AF">
        <w:rPr>
          <w:rFonts w:ascii="Times New Roman" w:hAnsi="Times New Roman" w:cs="Times New Roman"/>
          <w:sz w:val="24"/>
          <w:szCs w:val="24"/>
          <w:lang w:eastAsia="zh-HK"/>
        </w:rPr>
        <w:t>June 2020</w:t>
      </w:r>
      <w:r w:rsidRPr="0064328B">
        <w:rPr>
          <w:rFonts w:ascii="Times New Roman" w:hAnsi="Times New Roman" w:cs="Times New Roman" w:hint="eastAsia"/>
          <w:sz w:val="24"/>
          <w:szCs w:val="24"/>
          <w:lang w:eastAsia="zh-HK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is indicated in the </w:t>
      </w:r>
      <w:r w:rsidRPr="0064328B">
        <w:rPr>
          <w:rFonts w:ascii="Times New Roman" w:hAnsi="Times New Roman" w:cs="Times New Roman" w:hint="eastAsia"/>
          <w:sz w:val="24"/>
          <w:szCs w:val="24"/>
          <w:lang w:eastAsia="zh-HK"/>
        </w:rPr>
        <w:t>draft Brief.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Attention is drawn to bidding restriction and tender award 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A14D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8C" w:rsidRDefault="00D7428C" w:rsidP="006152EC">
      <w:pPr>
        <w:spacing w:after="0" w:line="240" w:lineRule="auto"/>
      </w:pPr>
      <w:r>
        <w:separator/>
      </w:r>
    </w:p>
  </w:endnote>
  <w:endnote w:type="continuationSeparator" w:id="0">
    <w:p w:rsidR="00D7428C" w:rsidRDefault="00D7428C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8C" w:rsidRDefault="00D7428C" w:rsidP="006152EC">
      <w:pPr>
        <w:spacing w:after="0" w:line="240" w:lineRule="auto"/>
      </w:pPr>
      <w:r>
        <w:separator/>
      </w:r>
    </w:p>
  </w:footnote>
  <w:footnote w:type="continuationSeparator" w:id="0">
    <w:p w:rsidR="00D7428C" w:rsidRDefault="00D7428C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B9F"/>
    <w:multiLevelType w:val="hybridMultilevel"/>
    <w:tmpl w:val="D3A28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1254CD"/>
    <w:multiLevelType w:val="hybridMultilevel"/>
    <w:tmpl w:val="211A5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6BC8"/>
    <w:rsid w:val="000874DA"/>
    <w:rsid w:val="00087FFC"/>
    <w:rsid w:val="000A629A"/>
    <w:rsid w:val="001F226A"/>
    <w:rsid w:val="001F4FAF"/>
    <w:rsid w:val="0021056E"/>
    <w:rsid w:val="00253FD8"/>
    <w:rsid w:val="0026201B"/>
    <w:rsid w:val="002C496A"/>
    <w:rsid w:val="002D21BF"/>
    <w:rsid w:val="003410E8"/>
    <w:rsid w:val="00362E0E"/>
    <w:rsid w:val="00374FE6"/>
    <w:rsid w:val="003B6F3A"/>
    <w:rsid w:val="005016AE"/>
    <w:rsid w:val="0060739E"/>
    <w:rsid w:val="00610B66"/>
    <w:rsid w:val="006152EC"/>
    <w:rsid w:val="00630F19"/>
    <w:rsid w:val="0064328B"/>
    <w:rsid w:val="006C34A1"/>
    <w:rsid w:val="006F66DD"/>
    <w:rsid w:val="00744C3F"/>
    <w:rsid w:val="00774350"/>
    <w:rsid w:val="00793FE7"/>
    <w:rsid w:val="007D5B62"/>
    <w:rsid w:val="008120EA"/>
    <w:rsid w:val="00904B2B"/>
    <w:rsid w:val="009123A5"/>
    <w:rsid w:val="009533B7"/>
    <w:rsid w:val="009C4652"/>
    <w:rsid w:val="00A14DD5"/>
    <w:rsid w:val="00A15FBB"/>
    <w:rsid w:val="00A32309"/>
    <w:rsid w:val="00A43E17"/>
    <w:rsid w:val="00B42191"/>
    <w:rsid w:val="00B80D31"/>
    <w:rsid w:val="00B93719"/>
    <w:rsid w:val="00BF5BE3"/>
    <w:rsid w:val="00C81316"/>
    <w:rsid w:val="00CA3C51"/>
    <w:rsid w:val="00CD3478"/>
    <w:rsid w:val="00D7428C"/>
    <w:rsid w:val="00DA5CAD"/>
    <w:rsid w:val="00DC325B"/>
    <w:rsid w:val="00E817F7"/>
    <w:rsid w:val="00E91FA7"/>
    <w:rsid w:val="00F20DFC"/>
    <w:rsid w:val="00F43E57"/>
    <w:rsid w:val="00F84851"/>
    <w:rsid w:val="00F879AF"/>
    <w:rsid w:val="00FB1B75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84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3"/>
      <w:szCs w:val="23"/>
    </w:rPr>
  </w:style>
  <w:style w:type="character" w:customStyle="1" w:styleId="ab">
    <w:name w:val="本文 字元"/>
    <w:basedOn w:val="a0"/>
    <w:link w:val="aa"/>
    <w:uiPriority w:val="1"/>
    <w:rsid w:val="00F84851"/>
    <w:rPr>
      <w:rFonts w:ascii="Times New Roman" w:eastAsia="新細明體" w:hAnsi="Times New Roman" w:cs="Times New Roman"/>
      <w:sz w:val="23"/>
      <w:szCs w:val="23"/>
    </w:rPr>
  </w:style>
  <w:style w:type="table" w:styleId="ac">
    <w:name w:val="Table Grid"/>
    <w:basedOn w:val="a1"/>
    <w:uiPriority w:val="39"/>
    <w:rsid w:val="00A3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6176-CDD6-4201-B520-DD3390A3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E(SI)51</cp:lastModifiedBy>
  <cp:revision>5</cp:revision>
  <dcterms:created xsi:type="dcterms:W3CDTF">2020-01-03T01:19:00Z</dcterms:created>
  <dcterms:modified xsi:type="dcterms:W3CDTF">2020-01-03T04:01:00Z</dcterms:modified>
</cp:coreProperties>
</file>